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A4" w:rsidRDefault="008B5AEB" w:rsidP="00247CA4">
      <w:pPr>
        <w:spacing w:after="120" w:line="240" w:lineRule="auto"/>
        <w:jc w:val="center"/>
        <w:rPr>
          <w:b/>
          <w:sz w:val="28"/>
          <w:szCs w:val="28"/>
        </w:rPr>
      </w:pPr>
      <w:r w:rsidRPr="008B5AEB">
        <w:rPr>
          <w:b/>
          <w:sz w:val="28"/>
          <w:szCs w:val="28"/>
        </w:rPr>
        <w:t xml:space="preserve">ABSOLUTE TOTAL CARE </w:t>
      </w:r>
    </w:p>
    <w:p w:rsidR="008B5AEB" w:rsidRPr="008B5AEB" w:rsidRDefault="008B5AEB" w:rsidP="00247CA4">
      <w:pPr>
        <w:jc w:val="center"/>
        <w:rPr>
          <w:b/>
          <w:sz w:val="28"/>
          <w:szCs w:val="28"/>
        </w:rPr>
      </w:pPr>
      <w:r w:rsidRPr="008B5AEB">
        <w:rPr>
          <w:b/>
          <w:sz w:val="28"/>
          <w:szCs w:val="28"/>
        </w:rPr>
        <w:t>Quality Improvement Program</w:t>
      </w:r>
    </w:p>
    <w:p w:rsidR="00C857E5" w:rsidRDefault="005C6355" w:rsidP="00EB4710">
      <w:pPr>
        <w:jc w:val="both"/>
      </w:pPr>
      <w:r>
        <w:t>Absolute Total Care (</w:t>
      </w:r>
      <w:r w:rsidR="00DE7691">
        <w:t>ATC</w:t>
      </w:r>
      <w:r>
        <w:t>)</w:t>
      </w:r>
      <w:r w:rsidR="00DE7691">
        <w:t xml:space="preserve"> </w:t>
      </w:r>
      <w:r w:rsidR="00DB495B">
        <w:t xml:space="preserve">strives </w:t>
      </w:r>
      <w:r w:rsidR="00EB4710">
        <w:t>to improve</w:t>
      </w:r>
      <w:r w:rsidR="00DE7691">
        <w:t xml:space="preserve"> the health of all enrolled members by focusing on helping </w:t>
      </w:r>
      <w:r w:rsidR="000E74C9">
        <w:t xml:space="preserve">them </w:t>
      </w:r>
      <w:r w:rsidR="005776A6">
        <w:t>to be</w:t>
      </w:r>
      <w:r w:rsidR="00DE7691">
        <w:t xml:space="preserve"> healthy and stay healthy</w:t>
      </w:r>
      <w:r w:rsidR="000E74C9">
        <w:t xml:space="preserve">. </w:t>
      </w:r>
      <w:r w:rsidR="001E236F">
        <w:t>ATC has</w:t>
      </w:r>
      <w:r w:rsidR="00DB495B">
        <w:t xml:space="preserve"> created a Quality Improvement (QI) Program</w:t>
      </w:r>
      <w:r w:rsidR="001E236F">
        <w:t xml:space="preserve"> to support this goal</w:t>
      </w:r>
      <w:r w:rsidR="00E33D25">
        <w:t>.</w:t>
      </w:r>
      <w:r w:rsidR="00DB495B">
        <w:t xml:space="preserve"> The goal of the </w:t>
      </w:r>
      <w:r w:rsidR="00E33D25">
        <w:t>p</w:t>
      </w:r>
      <w:r w:rsidR="00DB495B">
        <w:t xml:space="preserve">rogram is </w:t>
      </w:r>
      <w:r w:rsidR="00EB4710">
        <w:t>to ensure</w:t>
      </w:r>
      <w:r w:rsidR="000E74C9">
        <w:t xml:space="preserve"> our members receive high quality care and services that are effective, safe and responsive to their health</w:t>
      </w:r>
      <w:r w:rsidR="00907CF8">
        <w:t xml:space="preserve"> care </w:t>
      </w:r>
      <w:r w:rsidR="000E74C9">
        <w:t>needs</w:t>
      </w:r>
      <w:r w:rsidR="00E33D25">
        <w:t>,</w:t>
      </w:r>
      <w:r w:rsidR="000E74C9">
        <w:t xml:space="preserve"> while </w:t>
      </w:r>
      <w:r w:rsidR="00D247E1" w:rsidRPr="00D247E1">
        <w:t>understand</w:t>
      </w:r>
      <w:r w:rsidR="00D247E1">
        <w:t xml:space="preserve">ing </w:t>
      </w:r>
      <w:r w:rsidR="000E74C9">
        <w:t>their</w:t>
      </w:r>
      <w:r w:rsidR="00D247E1" w:rsidRPr="00D247E1">
        <w:t xml:space="preserve"> </w:t>
      </w:r>
      <w:r w:rsidR="00E33D25" w:rsidRPr="00D247E1">
        <w:t>cultur</w:t>
      </w:r>
      <w:r w:rsidR="00E33D25">
        <w:t>al</w:t>
      </w:r>
      <w:r w:rsidR="00E33D25" w:rsidRPr="00D247E1">
        <w:t xml:space="preserve"> </w:t>
      </w:r>
      <w:r w:rsidR="00D247E1" w:rsidRPr="00D247E1">
        <w:t>and linguistic needs</w:t>
      </w:r>
      <w:r w:rsidR="0014740D">
        <w:t xml:space="preserve"> and preferences</w:t>
      </w:r>
      <w:r w:rsidR="00D247E1">
        <w:t>.</w:t>
      </w:r>
      <w:r w:rsidR="00D247E1" w:rsidRPr="00D247E1">
        <w:t xml:space="preserve"> </w:t>
      </w:r>
      <w:r w:rsidR="00DB495B">
        <w:t xml:space="preserve">The program extends to all internal departments and measures </w:t>
      </w:r>
      <w:r w:rsidR="0014740D">
        <w:t>numerous aspects</w:t>
      </w:r>
      <w:r w:rsidR="00DB495B">
        <w:t xml:space="preserve"> of the care and services offered through ATC. </w:t>
      </w:r>
    </w:p>
    <w:p w:rsidR="00ED5053" w:rsidRDefault="0014740D" w:rsidP="00EB4710">
      <w:pPr>
        <w:jc w:val="both"/>
        <w:rPr>
          <w:color w:val="FF0000"/>
        </w:rPr>
      </w:pPr>
      <w:r>
        <w:t>ATC</w:t>
      </w:r>
      <w:r w:rsidR="00EB4710">
        <w:t xml:space="preserve">’s </w:t>
      </w:r>
      <w:r w:rsidR="00EB4710" w:rsidRPr="00ED5053">
        <w:t>Board</w:t>
      </w:r>
      <w:r w:rsidR="00ED5053" w:rsidRPr="00ED5053">
        <w:t xml:space="preserve"> of Directors</w:t>
      </w:r>
      <w:r w:rsidR="004A1751">
        <w:t xml:space="preserve"> </w:t>
      </w:r>
      <w:r w:rsidR="00EB4710">
        <w:t xml:space="preserve">provides </w:t>
      </w:r>
      <w:r w:rsidR="00EB4710" w:rsidRPr="00ED5053">
        <w:t>the</w:t>
      </w:r>
      <w:r w:rsidR="00ED5053" w:rsidRPr="00ED5053">
        <w:t xml:space="preserve"> Quality Improvement Committee</w:t>
      </w:r>
      <w:r w:rsidR="00E33D25">
        <w:t xml:space="preserve"> </w:t>
      </w:r>
      <w:r w:rsidR="004A1751">
        <w:t xml:space="preserve">the authority to oversee the QI Program. The </w:t>
      </w:r>
      <w:r w:rsidRPr="00ED5053">
        <w:t>Quality Improvement Committee</w:t>
      </w:r>
      <w:r w:rsidR="004A1751">
        <w:t xml:space="preserve"> is </w:t>
      </w:r>
      <w:r w:rsidR="00ED5053" w:rsidRPr="00ED5053">
        <w:t xml:space="preserve">led by </w:t>
      </w:r>
      <w:r w:rsidR="00ED5053">
        <w:t xml:space="preserve">our </w:t>
      </w:r>
      <w:r w:rsidR="00ED5053" w:rsidRPr="00ED5053">
        <w:t>Medical Director</w:t>
      </w:r>
      <w:r w:rsidR="003C11F9">
        <w:t>,</w:t>
      </w:r>
      <w:r w:rsidR="004A1751">
        <w:t xml:space="preserve"> </w:t>
      </w:r>
      <w:r w:rsidR="00EB4710">
        <w:t xml:space="preserve">who </w:t>
      </w:r>
      <w:r w:rsidR="00EB4710" w:rsidRPr="00ED5053">
        <w:t>provides</w:t>
      </w:r>
      <w:r w:rsidR="00ED5053" w:rsidRPr="00ED5053">
        <w:t xml:space="preserve"> direction and has lead responsibility for </w:t>
      </w:r>
      <w:r>
        <w:t xml:space="preserve">health </w:t>
      </w:r>
      <w:r w:rsidR="00ED5053" w:rsidRPr="00ED5053">
        <w:t>plan</w:t>
      </w:r>
      <w:r w:rsidR="00ED5053">
        <w:t>-</w:t>
      </w:r>
      <w:r w:rsidR="00ED5053" w:rsidRPr="00ED5053">
        <w:t xml:space="preserve">wide QI </w:t>
      </w:r>
      <w:r w:rsidR="00ED5053">
        <w:t>Program a</w:t>
      </w:r>
      <w:r w:rsidR="00ED5053" w:rsidRPr="00ED5053">
        <w:t>ctivities.</w:t>
      </w:r>
      <w:r w:rsidR="00ED5053">
        <w:t xml:space="preserve"> T</w:t>
      </w:r>
      <w:r w:rsidR="005C6355">
        <w:t xml:space="preserve">he </w:t>
      </w:r>
      <w:r w:rsidR="00C01409">
        <w:t xml:space="preserve">QI </w:t>
      </w:r>
      <w:r w:rsidR="005C6355">
        <w:t xml:space="preserve">Program utilizes </w:t>
      </w:r>
      <w:r w:rsidR="00DE7691" w:rsidRPr="00DE7691">
        <w:t>a systematic approach to quality using reliable and valid methods of monitoring, analyzing, evaluating and improving the delivery of health care</w:t>
      </w:r>
      <w:r w:rsidR="005C6355">
        <w:t xml:space="preserve"> </w:t>
      </w:r>
      <w:r w:rsidR="00DE7691" w:rsidRPr="00DE7691">
        <w:t xml:space="preserve">to all members. This systematic approach provides a continuous cycle for assessing the quality of care and service among initiatives, including preventive health, acute and chronic care, behavioral health, over- and under-utilization, continuity and coordination of care, </w:t>
      </w:r>
      <w:r w:rsidR="005C6355">
        <w:t xml:space="preserve">and </w:t>
      </w:r>
      <w:r w:rsidR="00DE7691" w:rsidRPr="00DE7691">
        <w:t>patient safety</w:t>
      </w:r>
      <w:r w:rsidR="00445BB3">
        <w:t>.</w:t>
      </w:r>
      <w:r w:rsidR="005C6355" w:rsidRPr="00445BB3">
        <w:rPr>
          <w:color w:val="FF0000"/>
        </w:rPr>
        <w:t xml:space="preserve">  </w:t>
      </w:r>
    </w:p>
    <w:p w:rsidR="00D1791B" w:rsidRPr="00247CA4" w:rsidRDefault="00D1791B" w:rsidP="00D1791B">
      <w:pPr>
        <w:spacing w:after="60" w:line="240" w:lineRule="auto"/>
        <w:jc w:val="both"/>
        <w:rPr>
          <w:color w:val="000000" w:themeColor="text1"/>
        </w:rPr>
      </w:pPr>
      <w:r w:rsidRPr="00247CA4">
        <w:rPr>
          <w:b/>
          <w:color w:val="000000" w:themeColor="text1"/>
        </w:rPr>
        <w:t>HEDIS</w:t>
      </w:r>
      <w:r w:rsidRPr="00247CA4">
        <w:rPr>
          <w:color w:val="000000" w:themeColor="text1"/>
        </w:rPr>
        <w:t xml:space="preserve"> </w:t>
      </w:r>
    </w:p>
    <w:p w:rsidR="00D1791B" w:rsidRDefault="00D1791B" w:rsidP="00D1791B">
      <w:pPr>
        <w:jc w:val="both"/>
      </w:pPr>
      <w:r>
        <w:t>One way ATC measures progress towards meeting our goals each year, and determines areas in need of improvement, is by using the Healthcare Effectiveness Data and Information Set, or HEDIS</w:t>
      </w:r>
      <w:r w:rsidRPr="00445BB3">
        <w:t>®</w:t>
      </w:r>
      <w:r>
        <w:t>. HEDIS is a measurement tool used by health plans across the nation to evaluate performance in clinical quality and services provided by the health plan. Annual HEDIS scores are an indicator for ATC to evaluate progress towards QI Program goals, and where opportunities exist to improve overall services and health care for our members. A</w:t>
      </w:r>
      <w:r w:rsidRPr="00445BB3">
        <w:t xml:space="preserve">TC continuously looks for ways to increase the effectiveness of interventions and </w:t>
      </w:r>
      <w:r>
        <w:t>identify</w:t>
      </w:r>
      <w:r w:rsidRPr="00445BB3">
        <w:t xml:space="preserve"> new initiatives for improvement</w:t>
      </w:r>
      <w:r>
        <w:t>. Below are results for selected measures from Calendar Year (CY) 2015 (baseline</w:t>
      </w:r>
      <w:r w:rsidR="006B7215">
        <w:t xml:space="preserve"> year</w:t>
      </w:r>
      <w:r>
        <w:t xml:space="preserve">) and </w:t>
      </w:r>
      <w:r w:rsidR="00EE1328">
        <w:t>the previous two years</w:t>
      </w:r>
      <w:r w:rsidR="00EE60CA">
        <w:t xml:space="preserve"> for the Medicare-Medicaid (MMP) program:</w:t>
      </w:r>
      <w:r>
        <w:t xml:space="preserve"> </w:t>
      </w:r>
    </w:p>
    <w:tbl>
      <w:tblPr>
        <w:tblStyle w:val="TableGrid"/>
        <w:tblW w:w="0" w:type="auto"/>
        <w:tblLook w:val="04A0" w:firstRow="1" w:lastRow="0" w:firstColumn="1" w:lastColumn="0" w:noHBand="0" w:noVBand="1"/>
      </w:tblPr>
      <w:tblGrid>
        <w:gridCol w:w="3306"/>
        <w:gridCol w:w="1240"/>
        <w:gridCol w:w="1328"/>
        <w:gridCol w:w="1328"/>
      </w:tblGrid>
      <w:tr w:rsidR="00EE1328" w:rsidRPr="00787C38" w:rsidTr="00A51E12">
        <w:tc>
          <w:tcPr>
            <w:tcW w:w="3306" w:type="dxa"/>
          </w:tcPr>
          <w:p w:rsidR="00EE1328" w:rsidRPr="00787C38" w:rsidRDefault="00EE1328" w:rsidP="00304A30">
            <w:pPr>
              <w:rPr>
                <w:b/>
              </w:rPr>
            </w:pPr>
            <w:r w:rsidRPr="00787C38">
              <w:rPr>
                <w:b/>
              </w:rPr>
              <w:t>Measure</w:t>
            </w:r>
          </w:p>
        </w:tc>
        <w:tc>
          <w:tcPr>
            <w:tcW w:w="1240" w:type="dxa"/>
          </w:tcPr>
          <w:p w:rsidR="00EE1328" w:rsidRPr="00787C38" w:rsidRDefault="00EE1328" w:rsidP="00304A30">
            <w:pPr>
              <w:jc w:val="center"/>
              <w:rPr>
                <w:b/>
              </w:rPr>
            </w:pPr>
            <w:r>
              <w:rPr>
                <w:b/>
              </w:rPr>
              <w:t>CY 2015</w:t>
            </w:r>
          </w:p>
        </w:tc>
        <w:tc>
          <w:tcPr>
            <w:tcW w:w="1328" w:type="dxa"/>
          </w:tcPr>
          <w:p w:rsidR="00EE1328" w:rsidRPr="00787C38" w:rsidRDefault="00EE1328" w:rsidP="00304A30">
            <w:pPr>
              <w:jc w:val="center"/>
              <w:rPr>
                <w:b/>
              </w:rPr>
            </w:pPr>
            <w:r>
              <w:rPr>
                <w:b/>
              </w:rPr>
              <w:t>CY 2016</w:t>
            </w:r>
          </w:p>
        </w:tc>
        <w:tc>
          <w:tcPr>
            <w:tcW w:w="1328" w:type="dxa"/>
          </w:tcPr>
          <w:p w:rsidR="00EE1328" w:rsidRDefault="00EE1328" w:rsidP="00304A30">
            <w:pPr>
              <w:jc w:val="center"/>
              <w:rPr>
                <w:b/>
              </w:rPr>
            </w:pPr>
            <w:r>
              <w:rPr>
                <w:b/>
              </w:rPr>
              <w:t>CY 2017</w:t>
            </w:r>
          </w:p>
        </w:tc>
      </w:tr>
      <w:tr w:rsidR="00EE1328" w:rsidTr="00A51E12">
        <w:tc>
          <w:tcPr>
            <w:tcW w:w="3306" w:type="dxa"/>
          </w:tcPr>
          <w:p w:rsidR="00EE1328" w:rsidRPr="00D1791B" w:rsidRDefault="00EE1328" w:rsidP="00304A30">
            <w:pPr>
              <w:rPr>
                <w:b/>
                <w:i/>
              </w:rPr>
            </w:pPr>
            <w:r w:rsidRPr="00D1791B">
              <w:rPr>
                <w:b/>
                <w:i/>
              </w:rPr>
              <w:t xml:space="preserve">Diabetes </w:t>
            </w:r>
            <w:r>
              <w:rPr>
                <w:b/>
                <w:i/>
              </w:rPr>
              <w:t>Hgb</w:t>
            </w:r>
            <w:r w:rsidRPr="00D1791B">
              <w:rPr>
                <w:b/>
                <w:i/>
              </w:rPr>
              <w:t>A1C testing</w:t>
            </w:r>
          </w:p>
        </w:tc>
        <w:tc>
          <w:tcPr>
            <w:tcW w:w="1240" w:type="dxa"/>
          </w:tcPr>
          <w:p w:rsidR="00EE1328" w:rsidRDefault="00EE1328" w:rsidP="00304A30">
            <w:pPr>
              <w:jc w:val="center"/>
            </w:pPr>
            <w:r>
              <w:t>90.79%</w:t>
            </w:r>
          </w:p>
        </w:tc>
        <w:tc>
          <w:tcPr>
            <w:tcW w:w="1328" w:type="dxa"/>
          </w:tcPr>
          <w:p w:rsidR="00EE1328" w:rsidRDefault="00EE1328" w:rsidP="00304A30">
            <w:pPr>
              <w:jc w:val="center"/>
            </w:pPr>
            <w:r>
              <w:t>91.58%</w:t>
            </w:r>
          </w:p>
        </w:tc>
        <w:tc>
          <w:tcPr>
            <w:tcW w:w="1328" w:type="dxa"/>
          </w:tcPr>
          <w:p w:rsidR="00EE1328" w:rsidRDefault="000C2868" w:rsidP="00304A30">
            <w:pPr>
              <w:jc w:val="center"/>
            </w:pPr>
            <w:r>
              <w:t>91.05%</w:t>
            </w:r>
          </w:p>
        </w:tc>
      </w:tr>
      <w:tr w:rsidR="00EE1328" w:rsidTr="00A51E12">
        <w:tc>
          <w:tcPr>
            <w:tcW w:w="3306" w:type="dxa"/>
          </w:tcPr>
          <w:p w:rsidR="00EE1328" w:rsidRPr="00D1791B" w:rsidRDefault="00EE1328" w:rsidP="00304A30">
            <w:pPr>
              <w:rPr>
                <w:b/>
                <w:i/>
              </w:rPr>
            </w:pPr>
            <w:r>
              <w:rPr>
                <w:b/>
                <w:i/>
              </w:rPr>
              <w:t>Diabetes HgbA1c Adequate Control (&lt;8%)</w:t>
            </w:r>
          </w:p>
        </w:tc>
        <w:tc>
          <w:tcPr>
            <w:tcW w:w="1240" w:type="dxa"/>
          </w:tcPr>
          <w:p w:rsidR="00EE1328" w:rsidRDefault="00EE1328" w:rsidP="00304A30">
            <w:pPr>
              <w:jc w:val="center"/>
            </w:pPr>
            <w:r>
              <w:t>23.68%</w:t>
            </w:r>
          </w:p>
        </w:tc>
        <w:tc>
          <w:tcPr>
            <w:tcW w:w="1328" w:type="dxa"/>
          </w:tcPr>
          <w:p w:rsidR="00EE1328" w:rsidRDefault="00EE1328" w:rsidP="00304A30">
            <w:pPr>
              <w:jc w:val="center"/>
            </w:pPr>
            <w:r>
              <w:t>53.68%</w:t>
            </w:r>
          </w:p>
        </w:tc>
        <w:tc>
          <w:tcPr>
            <w:tcW w:w="1328" w:type="dxa"/>
          </w:tcPr>
          <w:p w:rsidR="00EE1328" w:rsidRDefault="000C2868" w:rsidP="00304A30">
            <w:pPr>
              <w:jc w:val="center"/>
            </w:pPr>
            <w:r>
              <w:t>48.59%</w:t>
            </w:r>
          </w:p>
        </w:tc>
      </w:tr>
      <w:tr w:rsidR="00EE1328" w:rsidTr="00A51E12">
        <w:tc>
          <w:tcPr>
            <w:tcW w:w="3306" w:type="dxa"/>
          </w:tcPr>
          <w:p w:rsidR="00EE1328" w:rsidRPr="00D1791B" w:rsidRDefault="00EE1328" w:rsidP="00D1791B">
            <w:pPr>
              <w:rPr>
                <w:b/>
                <w:i/>
              </w:rPr>
            </w:pPr>
            <w:r w:rsidRPr="00D1791B">
              <w:rPr>
                <w:b/>
                <w:i/>
              </w:rPr>
              <w:t>Diabetes Eye Exam</w:t>
            </w:r>
          </w:p>
        </w:tc>
        <w:tc>
          <w:tcPr>
            <w:tcW w:w="1240" w:type="dxa"/>
          </w:tcPr>
          <w:p w:rsidR="00EE1328" w:rsidRDefault="00EE1328" w:rsidP="00D1791B">
            <w:pPr>
              <w:jc w:val="center"/>
            </w:pPr>
            <w:r>
              <w:t>48.68%</w:t>
            </w:r>
          </w:p>
        </w:tc>
        <w:tc>
          <w:tcPr>
            <w:tcW w:w="1328" w:type="dxa"/>
          </w:tcPr>
          <w:p w:rsidR="00EE1328" w:rsidRDefault="00EE1328" w:rsidP="00D1791B">
            <w:pPr>
              <w:jc w:val="center"/>
            </w:pPr>
            <w:r>
              <w:t>46.32%</w:t>
            </w:r>
          </w:p>
        </w:tc>
        <w:tc>
          <w:tcPr>
            <w:tcW w:w="1328" w:type="dxa"/>
          </w:tcPr>
          <w:p w:rsidR="00EE1328" w:rsidRDefault="000C2868" w:rsidP="00D1791B">
            <w:pPr>
              <w:jc w:val="center"/>
            </w:pPr>
            <w:r>
              <w:t>51.15%</w:t>
            </w:r>
          </w:p>
        </w:tc>
      </w:tr>
      <w:tr w:rsidR="00EE1328" w:rsidTr="00A51E12">
        <w:tc>
          <w:tcPr>
            <w:tcW w:w="3306" w:type="dxa"/>
          </w:tcPr>
          <w:p w:rsidR="00EE1328" w:rsidRPr="00D1791B" w:rsidRDefault="00EE1328" w:rsidP="00D1791B">
            <w:pPr>
              <w:rPr>
                <w:b/>
                <w:i/>
              </w:rPr>
            </w:pPr>
            <w:r>
              <w:rPr>
                <w:b/>
                <w:i/>
              </w:rPr>
              <w:t>Diabetes Medical Attention to Nephropathy</w:t>
            </w:r>
          </w:p>
        </w:tc>
        <w:tc>
          <w:tcPr>
            <w:tcW w:w="1240" w:type="dxa"/>
          </w:tcPr>
          <w:p w:rsidR="00EE1328" w:rsidRDefault="00EE1328" w:rsidP="00D1791B">
            <w:pPr>
              <w:jc w:val="center"/>
            </w:pPr>
            <w:r>
              <w:t>90.79%</w:t>
            </w:r>
          </w:p>
        </w:tc>
        <w:tc>
          <w:tcPr>
            <w:tcW w:w="1328" w:type="dxa"/>
          </w:tcPr>
          <w:p w:rsidR="00EE1328" w:rsidRDefault="00EE1328" w:rsidP="00D1791B">
            <w:pPr>
              <w:jc w:val="center"/>
            </w:pPr>
            <w:r>
              <w:t>90.43%</w:t>
            </w:r>
          </w:p>
        </w:tc>
        <w:tc>
          <w:tcPr>
            <w:tcW w:w="1328" w:type="dxa"/>
          </w:tcPr>
          <w:p w:rsidR="00EE1328" w:rsidRDefault="000C2868" w:rsidP="00D1791B">
            <w:pPr>
              <w:jc w:val="center"/>
            </w:pPr>
            <w:r>
              <w:t>95.23%</w:t>
            </w:r>
          </w:p>
        </w:tc>
      </w:tr>
      <w:tr w:rsidR="00EE1328" w:rsidTr="00A51E12">
        <w:tc>
          <w:tcPr>
            <w:tcW w:w="3306" w:type="dxa"/>
          </w:tcPr>
          <w:p w:rsidR="00EE1328" w:rsidRPr="00D1791B" w:rsidRDefault="00EE1328" w:rsidP="00D1791B">
            <w:pPr>
              <w:rPr>
                <w:b/>
                <w:i/>
              </w:rPr>
            </w:pPr>
            <w:r>
              <w:rPr>
                <w:b/>
                <w:i/>
              </w:rPr>
              <w:t>Controlling High Blood Pressure (BP &lt;150/90)</w:t>
            </w:r>
          </w:p>
        </w:tc>
        <w:tc>
          <w:tcPr>
            <w:tcW w:w="1240" w:type="dxa"/>
          </w:tcPr>
          <w:p w:rsidR="00EE1328" w:rsidRDefault="00EE1328" w:rsidP="00D1791B">
            <w:pPr>
              <w:jc w:val="center"/>
            </w:pPr>
            <w:r>
              <w:t>41.30%</w:t>
            </w:r>
          </w:p>
        </w:tc>
        <w:tc>
          <w:tcPr>
            <w:tcW w:w="1328" w:type="dxa"/>
          </w:tcPr>
          <w:p w:rsidR="00EE1328" w:rsidRDefault="00EE1328" w:rsidP="00D1791B">
            <w:pPr>
              <w:jc w:val="center"/>
            </w:pPr>
            <w:r>
              <w:t>40.34%</w:t>
            </w:r>
          </w:p>
        </w:tc>
        <w:tc>
          <w:tcPr>
            <w:tcW w:w="1328" w:type="dxa"/>
          </w:tcPr>
          <w:p w:rsidR="00EE1328" w:rsidRDefault="000C2868" w:rsidP="00D1791B">
            <w:pPr>
              <w:jc w:val="center"/>
            </w:pPr>
            <w:r>
              <w:t>42.58%</w:t>
            </w:r>
          </w:p>
        </w:tc>
      </w:tr>
    </w:tbl>
    <w:p w:rsidR="00D1791B" w:rsidRDefault="00D1791B" w:rsidP="00247CA4">
      <w:pPr>
        <w:spacing w:before="120" w:after="60" w:line="240" w:lineRule="auto"/>
        <w:jc w:val="both"/>
        <w:rPr>
          <w:b/>
          <w:color w:val="000000" w:themeColor="text1"/>
        </w:rPr>
      </w:pPr>
    </w:p>
    <w:p w:rsidR="001E330E" w:rsidRPr="00247CA4" w:rsidRDefault="001E330E" w:rsidP="00247CA4">
      <w:pPr>
        <w:spacing w:before="120" w:after="60" w:line="240" w:lineRule="auto"/>
        <w:jc w:val="both"/>
        <w:rPr>
          <w:b/>
          <w:color w:val="000000" w:themeColor="text1"/>
        </w:rPr>
      </w:pPr>
      <w:r w:rsidRPr="00247CA4">
        <w:rPr>
          <w:b/>
          <w:color w:val="000000" w:themeColor="text1"/>
        </w:rPr>
        <w:t>CAHPS</w:t>
      </w:r>
    </w:p>
    <w:p w:rsidR="00A05EE1" w:rsidRDefault="003C11F9" w:rsidP="00EB4710">
      <w:pPr>
        <w:jc w:val="both"/>
      </w:pPr>
      <w:r>
        <w:t>ATC</w:t>
      </w:r>
      <w:r w:rsidRPr="00D247E1">
        <w:t xml:space="preserve"> </w:t>
      </w:r>
      <w:r>
        <w:t>utilizes a</w:t>
      </w:r>
      <w:r w:rsidR="00D247E1" w:rsidRPr="00D247E1">
        <w:t xml:space="preserve"> survey called the Consumer Assessment of Healthcare Providers and Systems (</w:t>
      </w:r>
      <w:r w:rsidR="00445BB3" w:rsidRPr="00445BB3">
        <w:t>CAHPS®)</w:t>
      </w:r>
      <w:r w:rsidR="00D247E1" w:rsidRPr="00D247E1">
        <w:t xml:space="preserve"> to </w:t>
      </w:r>
      <w:r>
        <w:t xml:space="preserve">assess member satisfaction. </w:t>
      </w:r>
      <w:r w:rsidR="00C01409">
        <w:t xml:space="preserve">The </w:t>
      </w:r>
      <w:r w:rsidR="00FE5F71">
        <w:t xml:space="preserve">CAHPS survey is a standard tool for measuring and reporting on member </w:t>
      </w:r>
      <w:r w:rsidR="00FE5F71">
        <w:lastRenderedPageBreak/>
        <w:t>experience with their health plan and services</w:t>
      </w:r>
      <w:r w:rsidR="00E33D25">
        <w:t xml:space="preserve"> received</w:t>
      </w:r>
      <w:r w:rsidR="00FE5F71">
        <w:t xml:space="preserve">. </w:t>
      </w:r>
      <w:r>
        <w:t>CAHPS is a nat</w:t>
      </w:r>
      <w:r w:rsidR="00FE5F71">
        <w:t xml:space="preserve">ional tool </w:t>
      </w:r>
      <w:r>
        <w:t>used by</w:t>
      </w:r>
      <w:r w:rsidR="00FE5F71">
        <w:t xml:space="preserve"> health plans</w:t>
      </w:r>
      <w:r>
        <w:t xml:space="preserve">; </w:t>
      </w:r>
      <w:r w:rsidR="00C01409">
        <w:t>questions include such items as ability to get an appointment with their primary care physician or specialist</w:t>
      </w:r>
      <w:r>
        <w:t>,</w:t>
      </w:r>
      <w:r w:rsidR="00ED5053">
        <w:t xml:space="preserve"> and respectful treatment by the providers</w:t>
      </w:r>
      <w:r w:rsidR="00C01409">
        <w:t>.</w:t>
      </w:r>
      <w:r>
        <w:t xml:space="preserve"> T</w:t>
      </w:r>
      <w:r w:rsidR="00ED5053">
        <w:t xml:space="preserve">he </w:t>
      </w:r>
      <w:r>
        <w:t xml:space="preserve">CAHPS </w:t>
      </w:r>
      <w:r w:rsidR="00ED5053">
        <w:t xml:space="preserve">results are reviewed by </w:t>
      </w:r>
      <w:r>
        <w:t xml:space="preserve">ATC and </w:t>
      </w:r>
      <w:r w:rsidR="00ED5053">
        <w:t>the QI Committee and</w:t>
      </w:r>
      <w:r>
        <w:t xml:space="preserve"> action</w:t>
      </w:r>
      <w:r w:rsidR="00ED5053">
        <w:t xml:space="preserve"> plans are </w:t>
      </w:r>
      <w:r>
        <w:t xml:space="preserve">implemented </w:t>
      </w:r>
      <w:r w:rsidR="00ED5053">
        <w:t xml:space="preserve">to improve any </w:t>
      </w:r>
      <w:r w:rsidR="00E33D25">
        <w:t>deficiencies</w:t>
      </w:r>
      <w:r w:rsidR="00ED5053">
        <w:t>.</w:t>
      </w:r>
    </w:p>
    <w:p w:rsidR="00027D99" w:rsidRDefault="00027D99" w:rsidP="00EB4710">
      <w:pPr>
        <w:jc w:val="both"/>
      </w:pPr>
      <w:r>
        <w:t xml:space="preserve">Below are </w:t>
      </w:r>
      <w:r w:rsidR="00D259AC">
        <w:t>2017</w:t>
      </w:r>
      <w:r w:rsidR="00EE60CA">
        <w:t xml:space="preserve"> (</w:t>
      </w:r>
      <w:r w:rsidR="00773440">
        <w:t>baseline</w:t>
      </w:r>
      <w:r w:rsidR="00EE60CA">
        <w:t>)</w:t>
      </w:r>
      <w:r w:rsidR="00773440">
        <w:t xml:space="preserve"> </w:t>
      </w:r>
      <w:r w:rsidR="00EE1328">
        <w:t>and 201</w:t>
      </w:r>
      <w:r w:rsidR="00D259AC">
        <w:t>8</w:t>
      </w:r>
      <w:r w:rsidR="00EE1328">
        <w:t xml:space="preserve"> </w:t>
      </w:r>
      <w:r w:rsidR="00773440">
        <w:t xml:space="preserve">CAHPS scores for the Medicare-Medicaid (MMP) program: </w:t>
      </w:r>
    </w:p>
    <w:tbl>
      <w:tblPr>
        <w:tblStyle w:val="TableGrid"/>
        <w:tblW w:w="0" w:type="auto"/>
        <w:tblLook w:val="04A0" w:firstRow="1" w:lastRow="0" w:firstColumn="1" w:lastColumn="0" w:noHBand="0" w:noVBand="1"/>
      </w:tblPr>
      <w:tblGrid>
        <w:gridCol w:w="3055"/>
        <w:gridCol w:w="990"/>
        <w:gridCol w:w="990"/>
      </w:tblGrid>
      <w:tr w:rsidR="00EE1328" w:rsidRPr="000C710A" w:rsidTr="003C1690">
        <w:tc>
          <w:tcPr>
            <w:tcW w:w="3055" w:type="dxa"/>
          </w:tcPr>
          <w:p w:rsidR="00EE1328" w:rsidRPr="000C710A" w:rsidRDefault="00EE1328" w:rsidP="00942750">
            <w:pPr>
              <w:rPr>
                <w:b/>
              </w:rPr>
            </w:pPr>
            <w:r w:rsidRPr="000C710A">
              <w:rPr>
                <w:b/>
              </w:rPr>
              <w:t>Measure</w:t>
            </w:r>
          </w:p>
        </w:tc>
        <w:tc>
          <w:tcPr>
            <w:tcW w:w="990" w:type="dxa"/>
          </w:tcPr>
          <w:p w:rsidR="00EE1328" w:rsidRPr="000C710A" w:rsidRDefault="00EE1328" w:rsidP="00D259AC">
            <w:pPr>
              <w:jc w:val="center"/>
              <w:rPr>
                <w:b/>
              </w:rPr>
            </w:pPr>
            <w:r>
              <w:rPr>
                <w:b/>
              </w:rPr>
              <w:t>201</w:t>
            </w:r>
            <w:r w:rsidR="00D259AC">
              <w:rPr>
                <w:b/>
              </w:rPr>
              <w:t>7</w:t>
            </w:r>
            <w:r>
              <w:rPr>
                <w:b/>
              </w:rPr>
              <w:t xml:space="preserve"> MMP CAHPS</w:t>
            </w:r>
          </w:p>
        </w:tc>
        <w:tc>
          <w:tcPr>
            <w:tcW w:w="990" w:type="dxa"/>
          </w:tcPr>
          <w:p w:rsidR="00EE1328" w:rsidRPr="00110DE9" w:rsidRDefault="00335515" w:rsidP="00773440">
            <w:pPr>
              <w:jc w:val="center"/>
              <w:rPr>
                <w:b/>
              </w:rPr>
            </w:pPr>
            <w:r w:rsidRPr="00110DE9">
              <w:rPr>
                <w:b/>
              </w:rPr>
              <w:t xml:space="preserve"> 201</w:t>
            </w:r>
            <w:r w:rsidR="00D259AC" w:rsidRPr="00110DE9">
              <w:rPr>
                <w:b/>
              </w:rPr>
              <w:t>8</w:t>
            </w:r>
          </w:p>
          <w:p w:rsidR="00EE1328" w:rsidRPr="00110DE9" w:rsidRDefault="00EE1328" w:rsidP="00773440">
            <w:pPr>
              <w:jc w:val="center"/>
              <w:rPr>
                <w:b/>
              </w:rPr>
            </w:pPr>
            <w:r w:rsidRPr="00110DE9">
              <w:rPr>
                <w:b/>
              </w:rPr>
              <w:t xml:space="preserve">MMP </w:t>
            </w:r>
          </w:p>
          <w:p w:rsidR="00EE1328" w:rsidRDefault="00EE1328" w:rsidP="00773440">
            <w:pPr>
              <w:jc w:val="center"/>
              <w:rPr>
                <w:b/>
              </w:rPr>
            </w:pPr>
            <w:r w:rsidRPr="00110DE9">
              <w:rPr>
                <w:b/>
              </w:rPr>
              <w:t>CAHPS</w:t>
            </w:r>
          </w:p>
        </w:tc>
      </w:tr>
      <w:tr w:rsidR="00EE1328" w:rsidTr="003C1690">
        <w:tc>
          <w:tcPr>
            <w:tcW w:w="3055" w:type="dxa"/>
          </w:tcPr>
          <w:p w:rsidR="00EE1328" w:rsidRDefault="00EE1328" w:rsidP="00027D99">
            <w:r>
              <w:t>Getting Needed Care</w:t>
            </w:r>
          </w:p>
        </w:tc>
        <w:tc>
          <w:tcPr>
            <w:tcW w:w="990" w:type="dxa"/>
          </w:tcPr>
          <w:p w:rsidR="00EE1328" w:rsidRDefault="00EE1328" w:rsidP="00027D99">
            <w:pPr>
              <w:jc w:val="center"/>
            </w:pPr>
            <w:r>
              <w:t>62.2%</w:t>
            </w:r>
          </w:p>
        </w:tc>
        <w:tc>
          <w:tcPr>
            <w:tcW w:w="990" w:type="dxa"/>
          </w:tcPr>
          <w:p w:rsidR="00EE1328" w:rsidRDefault="00014FE3" w:rsidP="00027D99">
            <w:pPr>
              <w:jc w:val="center"/>
            </w:pPr>
            <w:r>
              <w:t>61.8%</w:t>
            </w:r>
          </w:p>
        </w:tc>
      </w:tr>
      <w:tr w:rsidR="00EE1328" w:rsidTr="003C1690">
        <w:tc>
          <w:tcPr>
            <w:tcW w:w="3055" w:type="dxa"/>
          </w:tcPr>
          <w:p w:rsidR="00EE1328" w:rsidRDefault="00EE1328" w:rsidP="00027D99">
            <w:r>
              <w:t>Getting Care Quickly</w:t>
            </w:r>
          </w:p>
        </w:tc>
        <w:tc>
          <w:tcPr>
            <w:tcW w:w="990" w:type="dxa"/>
          </w:tcPr>
          <w:p w:rsidR="00EE1328" w:rsidRDefault="00EE1328" w:rsidP="00027D99">
            <w:pPr>
              <w:jc w:val="center"/>
            </w:pPr>
            <w:r>
              <w:t>53.6%</w:t>
            </w:r>
          </w:p>
        </w:tc>
        <w:tc>
          <w:tcPr>
            <w:tcW w:w="990" w:type="dxa"/>
          </w:tcPr>
          <w:p w:rsidR="00EE1328" w:rsidRDefault="00110DE9" w:rsidP="00027D99">
            <w:pPr>
              <w:jc w:val="center"/>
            </w:pPr>
            <w:r>
              <w:t>56.6%</w:t>
            </w:r>
          </w:p>
        </w:tc>
      </w:tr>
      <w:tr w:rsidR="00EE1328" w:rsidTr="003C1690">
        <w:tc>
          <w:tcPr>
            <w:tcW w:w="3055" w:type="dxa"/>
          </w:tcPr>
          <w:p w:rsidR="00EE1328" w:rsidRDefault="00EE1328" w:rsidP="00027D99">
            <w:r>
              <w:t>Rating of Health Plan</w:t>
            </w:r>
          </w:p>
        </w:tc>
        <w:tc>
          <w:tcPr>
            <w:tcW w:w="990" w:type="dxa"/>
          </w:tcPr>
          <w:p w:rsidR="00EE1328" w:rsidRDefault="00EE1328" w:rsidP="00027D99">
            <w:pPr>
              <w:jc w:val="center"/>
            </w:pPr>
            <w:r>
              <w:t>70.7%</w:t>
            </w:r>
          </w:p>
        </w:tc>
        <w:tc>
          <w:tcPr>
            <w:tcW w:w="990" w:type="dxa"/>
          </w:tcPr>
          <w:p w:rsidR="00EE1328" w:rsidRDefault="00110DE9" w:rsidP="00027D99">
            <w:pPr>
              <w:jc w:val="center"/>
            </w:pPr>
            <w:r>
              <w:t>73.9%</w:t>
            </w:r>
          </w:p>
        </w:tc>
        <w:bookmarkStart w:id="0" w:name="_GoBack"/>
        <w:bookmarkEnd w:id="0"/>
      </w:tr>
      <w:tr w:rsidR="00EE1328" w:rsidTr="003C1690">
        <w:tc>
          <w:tcPr>
            <w:tcW w:w="3055" w:type="dxa"/>
          </w:tcPr>
          <w:p w:rsidR="00EE1328" w:rsidRDefault="00EE1328" w:rsidP="00027D99">
            <w:r>
              <w:t>Rating of Personal Doctor</w:t>
            </w:r>
          </w:p>
        </w:tc>
        <w:tc>
          <w:tcPr>
            <w:tcW w:w="990" w:type="dxa"/>
          </w:tcPr>
          <w:p w:rsidR="00EE1328" w:rsidRDefault="00EE1328" w:rsidP="00027D99">
            <w:pPr>
              <w:jc w:val="center"/>
            </w:pPr>
            <w:r>
              <w:t>78.5%</w:t>
            </w:r>
          </w:p>
        </w:tc>
        <w:tc>
          <w:tcPr>
            <w:tcW w:w="990" w:type="dxa"/>
          </w:tcPr>
          <w:p w:rsidR="00EE1328" w:rsidRDefault="00110DE9" w:rsidP="00027D99">
            <w:pPr>
              <w:jc w:val="center"/>
            </w:pPr>
            <w:r>
              <w:t>75.3%</w:t>
            </w:r>
          </w:p>
        </w:tc>
      </w:tr>
      <w:tr w:rsidR="00EE1328" w:rsidTr="003C1690">
        <w:tc>
          <w:tcPr>
            <w:tcW w:w="3055" w:type="dxa"/>
          </w:tcPr>
          <w:p w:rsidR="00EE1328" w:rsidRDefault="00EE1328" w:rsidP="00032759">
            <w:r>
              <w:t xml:space="preserve">Rating of Health Care Quality </w:t>
            </w:r>
          </w:p>
        </w:tc>
        <w:tc>
          <w:tcPr>
            <w:tcW w:w="990" w:type="dxa"/>
          </w:tcPr>
          <w:p w:rsidR="00EE1328" w:rsidRDefault="00EE1328" w:rsidP="00027D99">
            <w:pPr>
              <w:jc w:val="center"/>
            </w:pPr>
            <w:r>
              <w:t>61.3%</w:t>
            </w:r>
          </w:p>
        </w:tc>
        <w:tc>
          <w:tcPr>
            <w:tcW w:w="990" w:type="dxa"/>
          </w:tcPr>
          <w:p w:rsidR="00EE1328" w:rsidRDefault="00110DE9" w:rsidP="00110DE9">
            <w:pPr>
              <w:jc w:val="center"/>
            </w:pPr>
            <w:r>
              <w:t>58.9%</w:t>
            </w:r>
          </w:p>
        </w:tc>
      </w:tr>
      <w:tr w:rsidR="00EE1328" w:rsidTr="003C1690">
        <w:tc>
          <w:tcPr>
            <w:tcW w:w="3055" w:type="dxa"/>
          </w:tcPr>
          <w:p w:rsidR="00EE1328" w:rsidRDefault="00EE1328" w:rsidP="00027D99">
            <w:r>
              <w:t>How Well Doctors Communicate</w:t>
            </w:r>
          </w:p>
        </w:tc>
        <w:tc>
          <w:tcPr>
            <w:tcW w:w="990" w:type="dxa"/>
          </w:tcPr>
          <w:p w:rsidR="00EE1328" w:rsidRDefault="00EE1328" w:rsidP="00027D99">
            <w:pPr>
              <w:jc w:val="center"/>
            </w:pPr>
            <w:r>
              <w:t>79.8%</w:t>
            </w:r>
          </w:p>
        </w:tc>
        <w:tc>
          <w:tcPr>
            <w:tcW w:w="990" w:type="dxa"/>
          </w:tcPr>
          <w:p w:rsidR="00EE1328" w:rsidRDefault="00110DE9" w:rsidP="00027D99">
            <w:pPr>
              <w:jc w:val="center"/>
            </w:pPr>
            <w:r>
              <w:t>79.9%</w:t>
            </w:r>
          </w:p>
        </w:tc>
      </w:tr>
      <w:tr w:rsidR="00EE1328" w:rsidTr="003C1690">
        <w:tc>
          <w:tcPr>
            <w:tcW w:w="3055" w:type="dxa"/>
          </w:tcPr>
          <w:p w:rsidR="00EE1328" w:rsidRDefault="00EE1328" w:rsidP="00027D99">
            <w:r>
              <w:t>Customer Service</w:t>
            </w:r>
          </w:p>
        </w:tc>
        <w:tc>
          <w:tcPr>
            <w:tcW w:w="990" w:type="dxa"/>
          </w:tcPr>
          <w:p w:rsidR="00EE1328" w:rsidRDefault="00EE1328" w:rsidP="00027D99">
            <w:pPr>
              <w:jc w:val="center"/>
            </w:pPr>
            <w:r>
              <w:t>79.6%</w:t>
            </w:r>
          </w:p>
        </w:tc>
        <w:tc>
          <w:tcPr>
            <w:tcW w:w="990" w:type="dxa"/>
          </w:tcPr>
          <w:p w:rsidR="00EE1328" w:rsidRDefault="00110DE9" w:rsidP="00027D99">
            <w:pPr>
              <w:jc w:val="center"/>
            </w:pPr>
            <w:r>
              <w:t>80.9%</w:t>
            </w:r>
          </w:p>
        </w:tc>
      </w:tr>
    </w:tbl>
    <w:p w:rsidR="00247CA4" w:rsidRDefault="00247CA4" w:rsidP="00247CA4">
      <w:pPr>
        <w:spacing w:after="60" w:line="240" w:lineRule="auto"/>
        <w:jc w:val="both"/>
        <w:rPr>
          <w:b/>
          <w:color w:val="000000" w:themeColor="text1"/>
        </w:rPr>
      </w:pPr>
    </w:p>
    <w:p w:rsidR="00C04EF5" w:rsidRPr="00D83C36" w:rsidRDefault="000C2967" w:rsidP="00EB4710">
      <w:pPr>
        <w:pStyle w:val="NormalWeb"/>
        <w:jc w:val="both"/>
        <w:rPr>
          <w:rFonts w:asciiTheme="minorHAnsi" w:hAnsiTheme="minorHAnsi"/>
          <w:color w:val="434343"/>
          <w:sz w:val="22"/>
          <w:szCs w:val="22"/>
          <w:lang w:val="en"/>
        </w:rPr>
      </w:pPr>
      <w:r w:rsidRPr="00D83C36">
        <w:rPr>
          <w:rFonts w:asciiTheme="minorHAnsi" w:hAnsiTheme="minorHAnsi"/>
          <w:sz w:val="22"/>
          <w:szCs w:val="22"/>
        </w:rPr>
        <w:t xml:space="preserve">In summary, </w:t>
      </w:r>
      <w:r w:rsidR="00C04EF5" w:rsidRPr="00D83C36">
        <w:rPr>
          <w:rFonts w:asciiTheme="minorHAnsi" w:hAnsiTheme="minorHAnsi"/>
          <w:sz w:val="22"/>
          <w:szCs w:val="22"/>
        </w:rPr>
        <w:t xml:space="preserve">ATC’s primary quality improvement goal is to improve members’ health status through a variety of meaningful quality improvement initiatives implemented across all care settings and aimed at improving quality of care and services delivered. </w:t>
      </w:r>
      <w:r w:rsidRPr="00D83C36">
        <w:rPr>
          <w:rFonts w:asciiTheme="minorHAnsi" w:hAnsiTheme="minorHAnsi"/>
          <w:sz w:val="22"/>
          <w:szCs w:val="22"/>
        </w:rPr>
        <w:t>The objectives to support this goal are:</w:t>
      </w:r>
      <w:r w:rsidR="00C04EF5" w:rsidRPr="00D83C36">
        <w:rPr>
          <w:rFonts w:asciiTheme="minorHAnsi" w:hAnsiTheme="minorHAnsi"/>
          <w:b/>
          <w:bCs/>
          <w:color w:val="434343"/>
          <w:sz w:val="22"/>
          <w:szCs w:val="22"/>
          <w:lang w:val="en"/>
        </w:rPr>
        <w:t xml:space="preserve">  </w:t>
      </w:r>
    </w:p>
    <w:p w:rsidR="000C2967" w:rsidRDefault="000C2967" w:rsidP="00EB4710">
      <w:pPr>
        <w:pStyle w:val="ListParagraph"/>
        <w:numPr>
          <w:ilvl w:val="0"/>
          <w:numId w:val="4"/>
        </w:numPr>
        <w:jc w:val="both"/>
      </w:pPr>
      <w:r w:rsidRPr="000C2967">
        <w:t>To improve member health outcomes through continuous quality improvement efforts</w:t>
      </w:r>
    </w:p>
    <w:p w:rsidR="000C2967" w:rsidRDefault="000C2967" w:rsidP="00EB4710">
      <w:pPr>
        <w:pStyle w:val="ListParagraph"/>
        <w:numPr>
          <w:ilvl w:val="0"/>
          <w:numId w:val="4"/>
        </w:numPr>
        <w:jc w:val="both"/>
      </w:pPr>
      <w:r w:rsidRPr="000C2967">
        <w:t>To seek input from and work with members, providers and community resources to ensure quality of care</w:t>
      </w:r>
    </w:p>
    <w:p w:rsidR="000C2967" w:rsidRDefault="000C2967" w:rsidP="00EB4710">
      <w:pPr>
        <w:pStyle w:val="ListParagraph"/>
        <w:numPr>
          <w:ilvl w:val="0"/>
          <w:numId w:val="4"/>
        </w:numPr>
        <w:jc w:val="both"/>
      </w:pPr>
      <w:r w:rsidRPr="000C2967">
        <w:t>To share periodic quality improvement information to participating providers in order to support their efforts to provide high quality health care</w:t>
      </w:r>
    </w:p>
    <w:p w:rsidR="000C2967" w:rsidRDefault="000C2967" w:rsidP="00EB4710">
      <w:pPr>
        <w:pStyle w:val="ListParagraph"/>
        <w:numPr>
          <w:ilvl w:val="0"/>
          <w:numId w:val="4"/>
        </w:numPr>
        <w:jc w:val="both"/>
      </w:pPr>
      <w:r w:rsidRPr="000C2967">
        <w:t>To ensure adequate resources with the expertise required to support and effectively carry out all functions of the QI Program are employed</w:t>
      </w:r>
    </w:p>
    <w:p w:rsidR="000C2967" w:rsidRDefault="000C2967" w:rsidP="00EB4710">
      <w:pPr>
        <w:pStyle w:val="ListParagraph"/>
        <w:numPr>
          <w:ilvl w:val="0"/>
          <w:numId w:val="4"/>
        </w:numPr>
        <w:jc w:val="both"/>
      </w:pPr>
      <w:r w:rsidRPr="000C2967">
        <w:t xml:space="preserve">To facilitate provider adoption of evidence based Preventive </w:t>
      </w:r>
      <w:r w:rsidR="001E330E">
        <w:t xml:space="preserve">Health </w:t>
      </w:r>
      <w:r w:rsidRPr="000C2967">
        <w:t xml:space="preserve">and Clinical Practice Guidelines </w:t>
      </w:r>
    </w:p>
    <w:p w:rsidR="000C2967" w:rsidRDefault="000C2967" w:rsidP="00EB4710">
      <w:pPr>
        <w:jc w:val="both"/>
      </w:pPr>
      <w:r>
        <w:t>The QI Program and annual evaluation are presente</w:t>
      </w:r>
      <w:r w:rsidR="003C11F9">
        <w:t>d</w:t>
      </w:r>
      <w:r>
        <w:t xml:space="preserve"> to the QI Committee and </w:t>
      </w:r>
      <w:r w:rsidR="003C11F9">
        <w:t xml:space="preserve">ATC </w:t>
      </w:r>
      <w:r>
        <w:t xml:space="preserve">Board of Directors for review and approval. If you have questions </w:t>
      </w:r>
      <w:r w:rsidR="003C11F9">
        <w:t>or wou</w:t>
      </w:r>
      <w:r w:rsidR="003359FC">
        <w:t>ld like more information about ATC’s Q</w:t>
      </w:r>
      <w:r>
        <w:t>I</w:t>
      </w:r>
      <w:r w:rsidR="003359FC">
        <w:t xml:space="preserve"> Program</w:t>
      </w:r>
      <w:r>
        <w:t xml:space="preserve">, </w:t>
      </w:r>
      <w:r w:rsidR="00774390" w:rsidRPr="00C65333">
        <w:t>Member Services at 1-866-433-6041 and ask for the Quality Department</w:t>
      </w:r>
      <w:r w:rsidR="001E330E">
        <w:t>.</w:t>
      </w:r>
    </w:p>
    <w:p w:rsidR="002C5BC9" w:rsidRDefault="002C5BC9" w:rsidP="00057E09"/>
    <w:sectPr w:rsidR="002C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7034"/>
    <w:multiLevelType w:val="hybridMultilevel"/>
    <w:tmpl w:val="192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1060E"/>
    <w:multiLevelType w:val="hybridMultilevel"/>
    <w:tmpl w:val="87DA5D26"/>
    <w:lvl w:ilvl="0" w:tplc="E12CE3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02B4D"/>
    <w:multiLevelType w:val="hybridMultilevel"/>
    <w:tmpl w:val="E6DC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7269B"/>
    <w:multiLevelType w:val="hybridMultilevel"/>
    <w:tmpl w:val="AA3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91"/>
    <w:rsid w:val="00000279"/>
    <w:rsid w:val="00014FE3"/>
    <w:rsid w:val="00027D99"/>
    <w:rsid w:val="00032759"/>
    <w:rsid w:val="00040095"/>
    <w:rsid w:val="00053E72"/>
    <w:rsid w:val="00057E09"/>
    <w:rsid w:val="000970E0"/>
    <w:rsid w:val="000A1BE3"/>
    <w:rsid w:val="000C2868"/>
    <w:rsid w:val="000C2967"/>
    <w:rsid w:val="000E74C9"/>
    <w:rsid w:val="000F50F8"/>
    <w:rsid w:val="00110DE9"/>
    <w:rsid w:val="0014740D"/>
    <w:rsid w:val="0017649D"/>
    <w:rsid w:val="001E236F"/>
    <w:rsid w:val="001E330E"/>
    <w:rsid w:val="00247CA4"/>
    <w:rsid w:val="002610EC"/>
    <w:rsid w:val="002611DB"/>
    <w:rsid w:val="00270682"/>
    <w:rsid w:val="00296D46"/>
    <w:rsid w:val="002C5BC9"/>
    <w:rsid w:val="00317739"/>
    <w:rsid w:val="00323AB8"/>
    <w:rsid w:val="00335515"/>
    <w:rsid w:val="003359FC"/>
    <w:rsid w:val="003861D1"/>
    <w:rsid w:val="003C11F9"/>
    <w:rsid w:val="00445BB3"/>
    <w:rsid w:val="004A1751"/>
    <w:rsid w:val="004E1302"/>
    <w:rsid w:val="005625FA"/>
    <w:rsid w:val="005776A6"/>
    <w:rsid w:val="005C6355"/>
    <w:rsid w:val="00620397"/>
    <w:rsid w:val="0068496F"/>
    <w:rsid w:val="006B7215"/>
    <w:rsid w:val="00773440"/>
    <w:rsid w:val="00774390"/>
    <w:rsid w:val="0085783D"/>
    <w:rsid w:val="008A13C5"/>
    <w:rsid w:val="008B5AEB"/>
    <w:rsid w:val="008D4E53"/>
    <w:rsid w:val="00907CF8"/>
    <w:rsid w:val="009467B6"/>
    <w:rsid w:val="009B01B7"/>
    <w:rsid w:val="00A05EE1"/>
    <w:rsid w:val="00A270B9"/>
    <w:rsid w:val="00AA3088"/>
    <w:rsid w:val="00B64DB1"/>
    <w:rsid w:val="00C01409"/>
    <w:rsid w:val="00C04EF5"/>
    <w:rsid w:val="00C65333"/>
    <w:rsid w:val="00C857E5"/>
    <w:rsid w:val="00D1791B"/>
    <w:rsid w:val="00D247E1"/>
    <w:rsid w:val="00D259AC"/>
    <w:rsid w:val="00D80AD5"/>
    <w:rsid w:val="00D83C36"/>
    <w:rsid w:val="00DB495B"/>
    <w:rsid w:val="00DE4DAF"/>
    <w:rsid w:val="00DE7691"/>
    <w:rsid w:val="00E07A86"/>
    <w:rsid w:val="00E33D25"/>
    <w:rsid w:val="00E80F41"/>
    <w:rsid w:val="00E86B0C"/>
    <w:rsid w:val="00EB4710"/>
    <w:rsid w:val="00ED285E"/>
    <w:rsid w:val="00ED5053"/>
    <w:rsid w:val="00EE1328"/>
    <w:rsid w:val="00EE60CA"/>
    <w:rsid w:val="00FD0989"/>
    <w:rsid w:val="00FE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40D40-6B4B-4A10-8621-8E0FAFF0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7E1"/>
    <w:pPr>
      <w:ind w:left="720"/>
      <w:contextualSpacing/>
    </w:pPr>
  </w:style>
  <w:style w:type="paragraph" w:styleId="BalloonText">
    <w:name w:val="Balloon Text"/>
    <w:basedOn w:val="Normal"/>
    <w:link w:val="BalloonTextChar"/>
    <w:uiPriority w:val="99"/>
    <w:semiHidden/>
    <w:unhideWhenUsed/>
    <w:rsid w:val="004A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751"/>
    <w:rPr>
      <w:rFonts w:ascii="Tahoma" w:hAnsi="Tahoma" w:cs="Tahoma"/>
      <w:sz w:val="16"/>
      <w:szCs w:val="16"/>
    </w:rPr>
  </w:style>
  <w:style w:type="paragraph" w:styleId="NormalWeb">
    <w:name w:val="Normal (Web)"/>
    <w:basedOn w:val="Normal"/>
    <w:uiPriority w:val="99"/>
    <w:semiHidden/>
    <w:unhideWhenUsed/>
    <w:rsid w:val="008B5A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740D"/>
    <w:rPr>
      <w:sz w:val="16"/>
      <w:szCs w:val="16"/>
    </w:rPr>
  </w:style>
  <w:style w:type="paragraph" w:styleId="CommentText">
    <w:name w:val="annotation text"/>
    <w:basedOn w:val="Normal"/>
    <w:link w:val="CommentTextChar"/>
    <w:uiPriority w:val="99"/>
    <w:semiHidden/>
    <w:unhideWhenUsed/>
    <w:rsid w:val="0014740D"/>
    <w:pPr>
      <w:spacing w:line="240" w:lineRule="auto"/>
    </w:pPr>
    <w:rPr>
      <w:sz w:val="20"/>
      <w:szCs w:val="20"/>
    </w:rPr>
  </w:style>
  <w:style w:type="character" w:customStyle="1" w:styleId="CommentTextChar">
    <w:name w:val="Comment Text Char"/>
    <w:basedOn w:val="DefaultParagraphFont"/>
    <w:link w:val="CommentText"/>
    <w:uiPriority w:val="99"/>
    <w:semiHidden/>
    <w:rsid w:val="0014740D"/>
    <w:rPr>
      <w:sz w:val="20"/>
      <w:szCs w:val="20"/>
    </w:rPr>
  </w:style>
  <w:style w:type="paragraph" w:styleId="CommentSubject">
    <w:name w:val="annotation subject"/>
    <w:basedOn w:val="CommentText"/>
    <w:next w:val="CommentText"/>
    <w:link w:val="CommentSubjectChar"/>
    <w:uiPriority w:val="99"/>
    <w:semiHidden/>
    <w:unhideWhenUsed/>
    <w:rsid w:val="0014740D"/>
    <w:rPr>
      <w:b/>
      <w:bCs/>
    </w:rPr>
  </w:style>
  <w:style w:type="character" w:customStyle="1" w:styleId="CommentSubjectChar">
    <w:name w:val="Comment Subject Char"/>
    <w:basedOn w:val="CommentTextChar"/>
    <w:link w:val="CommentSubject"/>
    <w:uiPriority w:val="99"/>
    <w:semiHidden/>
    <w:rsid w:val="00147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6828">
      <w:bodyDiv w:val="1"/>
      <w:marLeft w:val="0"/>
      <w:marRight w:val="0"/>
      <w:marTop w:val="0"/>
      <w:marBottom w:val="0"/>
      <w:divBdr>
        <w:top w:val="none" w:sz="0" w:space="0" w:color="auto"/>
        <w:left w:val="none" w:sz="0" w:space="0" w:color="auto"/>
        <w:bottom w:val="none" w:sz="0" w:space="0" w:color="auto"/>
        <w:right w:val="none" w:sz="0" w:space="0" w:color="auto"/>
      </w:divBdr>
      <w:divsChild>
        <w:div w:id="1646936109">
          <w:marLeft w:val="0"/>
          <w:marRight w:val="0"/>
          <w:marTop w:val="0"/>
          <w:marBottom w:val="0"/>
          <w:divBdr>
            <w:top w:val="none" w:sz="0" w:space="0" w:color="auto"/>
            <w:left w:val="none" w:sz="0" w:space="0" w:color="auto"/>
            <w:bottom w:val="none" w:sz="0" w:space="0" w:color="auto"/>
            <w:right w:val="none" w:sz="0" w:space="0" w:color="auto"/>
          </w:divBdr>
          <w:divsChild>
            <w:div w:id="606698377">
              <w:marLeft w:val="0"/>
              <w:marRight w:val="0"/>
              <w:marTop w:val="0"/>
              <w:marBottom w:val="0"/>
              <w:divBdr>
                <w:top w:val="none" w:sz="0" w:space="0" w:color="auto"/>
                <w:left w:val="none" w:sz="0" w:space="0" w:color="auto"/>
                <w:bottom w:val="none" w:sz="0" w:space="0" w:color="auto"/>
                <w:right w:val="none" w:sz="0" w:space="0" w:color="auto"/>
              </w:divBdr>
              <w:divsChild>
                <w:div w:id="919294569">
                  <w:marLeft w:val="0"/>
                  <w:marRight w:val="0"/>
                  <w:marTop w:val="0"/>
                  <w:marBottom w:val="0"/>
                  <w:divBdr>
                    <w:top w:val="none" w:sz="0" w:space="0" w:color="auto"/>
                    <w:left w:val="none" w:sz="0" w:space="0" w:color="auto"/>
                    <w:bottom w:val="none" w:sz="0" w:space="0" w:color="auto"/>
                    <w:right w:val="none" w:sz="0" w:space="0" w:color="auto"/>
                  </w:divBdr>
                  <w:divsChild>
                    <w:div w:id="371535750">
                      <w:marLeft w:val="0"/>
                      <w:marRight w:val="0"/>
                      <w:marTop w:val="0"/>
                      <w:marBottom w:val="0"/>
                      <w:divBdr>
                        <w:top w:val="none" w:sz="0" w:space="0" w:color="auto"/>
                        <w:left w:val="none" w:sz="0" w:space="0" w:color="auto"/>
                        <w:bottom w:val="none" w:sz="0" w:space="0" w:color="auto"/>
                        <w:right w:val="none" w:sz="0" w:space="0" w:color="auto"/>
                      </w:divBdr>
                      <w:divsChild>
                        <w:div w:id="687291337">
                          <w:marLeft w:val="0"/>
                          <w:marRight w:val="0"/>
                          <w:marTop w:val="0"/>
                          <w:marBottom w:val="0"/>
                          <w:divBdr>
                            <w:top w:val="none" w:sz="0" w:space="0" w:color="auto"/>
                            <w:left w:val="none" w:sz="0" w:space="0" w:color="auto"/>
                            <w:bottom w:val="none" w:sz="0" w:space="0" w:color="auto"/>
                            <w:right w:val="none" w:sz="0" w:space="0" w:color="auto"/>
                          </w:divBdr>
                          <w:divsChild>
                            <w:div w:id="1368721369">
                              <w:marLeft w:val="0"/>
                              <w:marRight w:val="0"/>
                              <w:marTop w:val="0"/>
                              <w:marBottom w:val="0"/>
                              <w:divBdr>
                                <w:top w:val="none" w:sz="0" w:space="0" w:color="auto"/>
                                <w:left w:val="none" w:sz="0" w:space="0" w:color="auto"/>
                                <w:bottom w:val="none" w:sz="0" w:space="0" w:color="auto"/>
                                <w:right w:val="none" w:sz="0" w:space="0" w:color="auto"/>
                              </w:divBdr>
                              <w:divsChild>
                                <w:div w:id="1620451279">
                                  <w:marLeft w:val="0"/>
                                  <w:marRight w:val="0"/>
                                  <w:marTop w:val="0"/>
                                  <w:marBottom w:val="0"/>
                                  <w:divBdr>
                                    <w:top w:val="none" w:sz="0" w:space="0" w:color="auto"/>
                                    <w:left w:val="none" w:sz="0" w:space="0" w:color="auto"/>
                                    <w:bottom w:val="none" w:sz="0" w:space="0" w:color="auto"/>
                                    <w:right w:val="none" w:sz="0" w:space="0" w:color="auto"/>
                                  </w:divBdr>
                                  <w:divsChild>
                                    <w:div w:id="86272867">
                                      <w:marLeft w:val="0"/>
                                      <w:marRight w:val="0"/>
                                      <w:marTop w:val="0"/>
                                      <w:marBottom w:val="0"/>
                                      <w:divBdr>
                                        <w:top w:val="none" w:sz="0" w:space="0" w:color="auto"/>
                                        <w:left w:val="none" w:sz="0" w:space="0" w:color="auto"/>
                                        <w:bottom w:val="none" w:sz="0" w:space="0" w:color="auto"/>
                                        <w:right w:val="none" w:sz="0" w:space="0" w:color="auto"/>
                                      </w:divBdr>
                                      <w:divsChild>
                                        <w:div w:id="1805461847">
                                          <w:marLeft w:val="0"/>
                                          <w:marRight w:val="0"/>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sChild>
                                                <w:div w:id="2012491670">
                                                  <w:marLeft w:val="0"/>
                                                  <w:marRight w:val="0"/>
                                                  <w:marTop w:val="0"/>
                                                  <w:marBottom w:val="0"/>
                                                  <w:divBdr>
                                                    <w:top w:val="none" w:sz="0" w:space="0" w:color="auto"/>
                                                    <w:left w:val="none" w:sz="0" w:space="0" w:color="auto"/>
                                                    <w:bottom w:val="none" w:sz="0" w:space="0" w:color="auto"/>
                                                    <w:right w:val="none" w:sz="0" w:space="0" w:color="auto"/>
                                                  </w:divBdr>
                                                  <w:divsChild>
                                                    <w:div w:id="1557550716">
                                                      <w:marLeft w:val="0"/>
                                                      <w:marRight w:val="0"/>
                                                      <w:marTop w:val="0"/>
                                                      <w:marBottom w:val="0"/>
                                                      <w:divBdr>
                                                        <w:top w:val="none" w:sz="0" w:space="0" w:color="auto"/>
                                                        <w:left w:val="none" w:sz="0" w:space="0" w:color="auto"/>
                                                        <w:bottom w:val="none" w:sz="0" w:space="0" w:color="auto"/>
                                                        <w:right w:val="none" w:sz="0" w:space="0" w:color="auto"/>
                                                      </w:divBdr>
                                                      <w:divsChild>
                                                        <w:div w:id="1597710290">
                                                          <w:marLeft w:val="0"/>
                                                          <w:marRight w:val="0"/>
                                                          <w:marTop w:val="0"/>
                                                          <w:marBottom w:val="0"/>
                                                          <w:divBdr>
                                                            <w:top w:val="none" w:sz="0" w:space="0" w:color="auto"/>
                                                            <w:left w:val="none" w:sz="0" w:space="0" w:color="auto"/>
                                                            <w:bottom w:val="none" w:sz="0" w:space="0" w:color="auto"/>
                                                            <w:right w:val="none" w:sz="0" w:space="0" w:color="auto"/>
                                                          </w:divBdr>
                                                          <w:divsChild>
                                                            <w:div w:id="1791506578">
                                                              <w:marLeft w:val="0"/>
                                                              <w:marRight w:val="0"/>
                                                              <w:marTop w:val="0"/>
                                                              <w:marBottom w:val="0"/>
                                                              <w:divBdr>
                                                                <w:top w:val="none" w:sz="0" w:space="0" w:color="auto"/>
                                                                <w:left w:val="none" w:sz="0" w:space="0" w:color="auto"/>
                                                                <w:bottom w:val="none" w:sz="0" w:space="0" w:color="auto"/>
                                                                <w:right w:val="none" w:sz="0" w:space="0" w:color="auto"/>
                                                              </w:divBdr>
                                                              <w:divsChild>
                                                                <w:div w:id="56437629">
                                                                  <w:marLeft w:val="0"/>
                                                                  <w:marRight w:val="0"/>
                                                                  <w:marTop w:val="0"/>
                                                                  <w:marBottom w:val="0"/>
                                                                  <w:divBdr>
                                                                    <w:top w:val="none" w:sz="0" w:space="0" w:color="auto"/>
                                                                    <w:left w:val="none" w:sz="0" w:space="0" w:color="auto"/>
                                                                    <w:bottom w:val="none" w:sz="0" w:space="0" w:color="auto"/>
                                                                    <w:right w:val="none" w:sz="0" w:space="0" w:color="auto"/>
                                                                  </w:divBdr>
                                                                  <w:divsChild>
                                                                    <w:div w:id="1245871516">
                                                                      <w:marLeft w:val="0"/>
                                                                      <w:marRight w:val="0"/>
                                                                      <w:marTop w:val="0"/>
                                                                      <w:marBottom w:val="0"/>
                                                                      <w:divBdr>
                                                                        <w:top w:val="none" w:sz="0" w:space="0" w:color="auto"/>
                                                                        <w:left w:val="none" w:sz="0" w:space="0" w:color="auto"/>
                                                                        <w:bottom w:val="none" w:sz="0" w:space="0" w:color="auto"/>
                                                                        <w:right w:val="none" w:sz="0" w:space="0" w:color="auto"/>
                                                                      </w:divBdr>
                                                                      <w:divsChild>
                                                                        <w:div w:id="824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461257">
      <w:bodyDiv w:val="1"/>
      <w:marLeft w:val="0"/>
      <w:marRight w:val="0"/>
      <w:marTop w:val="0"/>
      <w:marBottom w:val="0"/>
      <w:divBdr>
        <w:top w:val="none" w:sz="0" w:space="0" w:color="auto"/>
        <w:left w:val="none" w:sz="0" w:space="0" w:color="auto"/>
        <w:bottom w:val="none" w:sz="0" w:space="0" w:color="auto"/>
        <w:right w:val="none" w:sz="0" w:space="0" w:color="auto"/>
      </w:divBdr>
      <w:divsChild>
        <w:div w:id="1526138247">
          <w:marLeft w:val="0"/>
          <w:marRight w:val="0"/>
          <w:marTop w:val="0"/>
          <w:marBottom w:val="0"/>
          <w:divBdr>
            <w:top w:val="none" w:sz="0" w:space="0" w:color="auto"/>
            <w:left w:val="none" w:sz="0" w:space="0" w:color="auto"/>
            <w:bottom w:val="none" w:sz="0" w:space="0" w:color="auto"/>
            <w:right w:val="none" w:sz="0" w:space="0" w:color="auto"/>
          </w:divBdr>
          <w:divsChild>
            <w:div w:id="2100102934">
              <w:marLeft w:val="0"/>
              <w:marRight w:val="0"/>
              <w:marTop w:val="0"/>
              <w:marBottom w:val="0"/>
              <w:divBdr>
                <w:top w:val="none" w:sz="0" w:space="0" w:color="auto"/>
                <w:left w:val="none" w:sz="0" w:space="0" w:color="auto"/>
                <w:bottom w:val="none" w:sz="0" w:space="0" w:color="auto"/>
                <w:right w:val="none" w:sz="0" w:space="0" w:color="auto"/>
              </w:divBdr>
              <w:divsChild>
                <w:div w:id="1054232762">
                  <w:marLeft w:val="0"/>
                  <w:marRight w:val="0"/>
                  <w:marTop w:val="0"/>
                  <w:marBottom w:val="0"/>
                  <w:divBdr>
                    <w:top w:val="none" w:sz="0" w:space="0" w:color="auto"/>
                    <w:left w:val="none" w:sz="0" w:space="0" w:color="auto"/>
                    <w:bottom w:val="none" w:sz="0" w:space="0" w:color="auto"/>
                    <w:right w:val="none" w:sz="0" w:space="0" w:color="auto"/>
                  </w:divBdr>
                  <w:divsChild>
                    <w:div w:id="1159073287">
                      <w:marLeft w:val="1"/>
                      <w:marRight w:val="1"/>
                      <w:marTop w:val="0"/>
                      <w:marBottom w:val="0"/>
                      <w:divBdr>
                        <w:top w:val="none" w:sz="0" w:space="0" w:color="auto"/>
                        <w:left w:val="none" w:sz="0" w:space="0" w:color="auto"/>
                        <w:bottom w:val="none" w:sz="0" w:space="0" w:color="auto"/>
                        <w:right w:val="none" w:sz="0" w:space="0" w:color="auto"/>
                      </w:divBdr>
                      <w:divsChild>
                        <w:div w:id="934360370">
                          <w:marLeft w:val="0"/>
                          <w:marRight w:val="0"/>
                          <w:marTop w:val="0"/>
                          <w:marBottom w:val="0"/>
                          <w:divBdr>
                            <w:top w:val="none" w:sz="0" w:space="0" w:color="auto"/>
                            <w:left w:val="none" w:sz="0" w:space="0" w:color="auto"/>
                            <w:bottom w:val="none" w:sz="0" w:space="0" w:color="auto"/>
                            <w:right w:val="none" w:sz="0" w:space="0" w:color="auto"/>
                          </w:divBdr>
                          <w:divsChild>
                            <w:div w:id="1722090111">
                              <w:marLeft w:val="0"/>
                              <w:marRight w:val="0"/>
                              <w:marTop w:val="0"/>
                              <w:marBottom w:val="0"/>
                              <w:divBdr>
                                <w:top w:val="none" w:sz="0" w:space="0" w:color="auto"/>
                                <w:left w:val="none" w:sz="0" w:space="0" w:color="auto"/>
                                <w:bottom w:val="none" w:sz="0" w:space="0" w:color="auto"/>
                                <w:right w:val="none" w:sz="0" w:space="0" w:color="auto"/>
                              </w:divBdr>
                              <w:divsChild>
                                <w:div w:id="19241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20990">
      <w:bodyDiv w:val="1"/>
      <w:marLeft w:val="0"/>
      <w:marRight w:val="0"/>
      <w:marTop w:val="0"/>
      <w:marBottom w:val="0"/>
      <w:divBdr>
        <w:top w:val="none" w:sz="0" w:space="0" w:color="auto"/>
        <w:left w:val="none" w:sz="0" w:space="0" w:color="auto"/>
        <w:bottom w:val="none" w:sz="0" w:space="0" w:color="auto"/>
        <w:right w:val="none" w:sz="0" w:space="0" w:color="auto"/>
      </w:divBdr>
      <w:divsChild>
        <w:div w:id="1162817145">
          <w:marLeft w:val="0"/>
          <w:marRight w:val="0"/>
          <w:marTop w:val="0"/>
          <w:marBottom w:val="0"/>
          <w:divBdr>
            <w:top w:val="none" w:sz="0" w:space="0" w:color="auto"/>
            <w:left w:val="none" w:sz="0" w:space="0" w:color="auto"/>
            <w:bottom w:val="none" w:sz="0" w:space="0" w:color="auto"/>
            <w:right w:val="none" w:sz="0" w:space="0" w:color="auto"/>
          </w:divBdr>
          <w:divsChild>
            <w:div w:id="1403138660">
              <w:marLeft w:val="0"/>
              <w:marRight w:val="0"/>
              <w:marTop w:val="0"/>
              <w:marBottom w:val="0"/>
              <w:divBdr>
                <w:top w:val="none" w:sz="0" w:space="0" w:color="auto"/>
                <w:left w:val="none" w:sz="0" w:space="0" w:color="auto"/>
                <w:bottom w:val="none" w:sz="0" w:space="0" w:color="auto"/>
                <w:right w:val="none" w:sz="0" w:space="0" w:color="auto"/>
              </w:divBdr>
              <w:divsChild>
                <w:div w:id="187567567">
                  <w:marLeft w:val="0"/>
                  <w:marRight w:val="0"/>
                  <w:marTop w:val="0"/>
                  <w:marBottom w:val="0"/>
                  <w:divBdr>
                    <w:top w:val="none" w:sz="0" w:space="0" w:color="auto"/>
                    <w:left w:val="none" w:sz="0" w:space="0" w:color="auto"/>
                    <w:bottom w:val="none" w:sz="0" w:space="0" w:color="auto"/>
                    <w:right w:val="none" w:sz="0" w:space="0" w:color="auto"/>
                  </w:divBdr>
                  <w:divsChild>
                    <w:div w:id="289215016">
                      <w:marLeft w:val="135"/>
                      <w:marRight w:val="0"/>
                      <w:marTop w:val="0"/>
                      <w:marBottom w:val="270"/>
                      <w:divBdr>
                        <w:top w:val="none" w:sz="0" w:space="0" w:color="auto"/>
                        <w:left w:val="none" w:sz="0" w:space="0" w:color="auto"/>
                        <w:bottom w:val="none" w:sz="0" w:space="0" w:color="auto"/>
                        <w:right w:val="none" w:sz="0" w:space="0" w:color="auto"/>
                      </w:divBdr>
                      <w:divsChild>
                        <w:div w:id="1416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3946-9E59-4247-838D-792774BA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McElwain</dc:creator>
  <cp:lastModifiedBy>Suzanne Sears</cp:lastModifiedBy>
  <cp:revision>7</cp:revision>
  <cp:lastPrinted>2015-02-10T21:45:00Z</cp:lastPrinted>
  <dcterms:created xsi:type="dcterms:W3CDTF">2018-07-23T20:17:00Z</dcterms:created>
  <dcterms:modified xsi:type="dcterms:W3CDTF">2018-08-29T14:12:00Z</dcterms:modified>
</cp:coreProperties>
</file>